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25</w:t>
      </w: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 xml:space="preserve"> октября 2019</w:t>
      </w:r>
    </w:p>
    <w:p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Самарская область достигла 100% показателей целевой модели </w:t>
      </w:r>
    </w:p>
    <w:p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по регистрации прав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24 октября в Управлении Росреестра по Самарской области состоялась коллегия, в ходе которой в том числе был рассмотрен вопрос реализации целевой модели «Регистрация права собственности на земельные участки и объекты недвижимости».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Утвержденная Правительством Российской Федерации целевая модель «Регистрация прав собственности на земельные участки и объекты недвижимости»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направлена на совершенствование учетно-регистрационных процедур, на </w:t>
      </w:r>
      <w:r>
        <w:rPr>
          <w:rFonts w:ascii="Segoe UI" w:hAnsi="Segoe UI" w:cs="Segoe UI"/>
          <w:color w:val="000000" w:themeColor="text1"/>
          <w:sz w:val="24"/>
          <w:szCs w:val="24"/>
        </w:rPr>
        <w:t>снижение административных барьеров при предоставлении государственной услуги по регистрации прав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и на улучшение бизнес-среды.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На территории Самарской области реализация этой целевой модели осуществляется при участии Управления Росреестра по Самарской области, Уполномоченного МФЦ по Самарской области, региональных властей и органов местного самоуправления.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данным Агентства стратегических инициатив по итогам 6 месяцев 2019 года только 7 регионов России из 85 достигли 100% показателей целевой модели «Регистрация прав собственности на земельные участки и объекты недвижимости». В их числе – Самарская область. По итогам 9 месяцев наш регион также достиг всех установленных 12 показателей.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proofErr w:type="gramStart"/>
      <w:r>
        <w:rPr>
          <w:rFonts w:ascii="Segoe UI" w:hAnsi="Segoe UI" w:cs="Segoe UI"/>
          <w:sz w:val="24"/>
          <w:szCs w:val="24"/>
        </w:rPr>
        <w:t>«Особое внимание Управление Росреестра уделяет межведомственному электронному взаимодействию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руководитель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Вадим Маликов</w:t>
      </w:r>
      <w:r>
        <w:rPr>
          <w:rFonts w:ascii="Segoe UI" w:hAnsi="Segoe UI" w:cs="Segoe UI"/>
          <w:sz w:val="24"/>
          <w:szCs w:val="24"/>
        </w:rPr>
        <w:t xml:space="preserve">. – На запросы Управления органы власти должны предоставлять информацию оперативно и исключительно через электронные сервисы, поскольку это существенно влияет на качество и сроки оказания услуг Росреестра. Поэтому в 2020 году тема межведомственного электронного взаимодействия также будет под нашим постоянным контролем».  </w:t>
      </w:r>
    </w:p>
    <w:p>
      <w:pPr>
        <w:suppressAutoHyphens/>
        <w:autoSpaceDE w:val="0"/>
        <w:autoSpaceDN w:val="0"/>
        <w:adjustRightInd w:val="0"/>
        <w:spacing w:before="240" w:after="0" w:line="276" w:lineRule="auto"/>
        <w:jc w:val="both"/>
        <w:rPr>
          <w:rFonts w:ascii="Segoe UI" w:hAnsi="Segoe UI" w:cs="Segoe UI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01202-EF93-4C22-B0C5-80B895D9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Курова Лилия Юрьевна</cp:lastModifiedBy>
  <cp:revision>52</cp:revision>
  <cp:lastPrinted>2019-10-24T12:11:00Z</cp:lastPrinted>
  <dcterms:created xsi:type="dcterms:W3CDTF">2019-10-24T08:48:00Z</dcterms:created>
  <dcterms:modified xsi:type="dcterms:W3CDTF">2019-10-24T12:46:00Z</dcterms:modified>
</cp:coreProperties>
</file>