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FF2" w:rsidRDefault="007E5FF2">
      <w:pPr>
        <w:spacing w:after="0" w:line="360" w:lineRule="auto"/>
        <w:ind w:firstLine="709"/>
        <w:jc w:val="center"/>
        <w:rPr>
          <w:rFonts w:ascii="Times New Roman" w:hAnsi="Times New Roman"/>
          <w:b/>
          <w:sz w:val="26"/>
          <w:szCs w:val="26"/>
        </w:rPr>
      </w:pPr>
      <w:r>
        <w:rPr>
          <w:rFonts w:ascii="Times New Roman" w:hAnsi="Times New Roman"/>
          <w:b/>
          <w:sz w:val="26"/>
          <w:szCs w:val="26"/>
        </w:rPr>
        <w:t>ИНФОРМАЦИЯ</w:t>
      </w:r>
    </w:p>
    <w:p w:rsidR="007E5FF2" w:rsidRDefault="007E5FF2">
      <w:pPr>
        <w:spacing w:after="0" w:line="360" w:lineRule="auto"/>
        <w:jc w:val="center"/>
        <w:rPr>
          <w:rFonts w:ascii="Times New Roman" w:hAnsi="Times New Roman"/>
          <w:b/>
          <w:sz w:val="26"/>
          <w:szCs w:val="26"/>
        </w:rPr>
      </w:pPr>
      <w:r>
        <w:rPr>
          <w:rFonts w:ascii="Times New Roman" w:hAnsi="Times New Roman"/>
          <w:b/>
          <w:sz w:val="26"/>
          <w:szCs w:val="26"/>
        </w:rPr>
        <w:t>по вопросам порядка государственной регистрации прав на земельные участки, постановки на государственный кадастровый учет земельных участков</w:t>
      </w:r>
    </w:p>
    <w:p w:rsidR="007E5FF2" w:rsidRDefault="007E5FF2">
      <w:pPr>
        <w:spacing w:after="0" w:line="360" w:lineRule="auto"/>
        <w:ind w:firstLine="709"/>
        <w:jc w:val="center"/>
        <w:rPr>
          <w:rFonts w:ascii="Times New Roman" w:hAnsi="Times New Roman"/>
          <w:b/>
          <w:sz w:val="20"/>
          <w:szCs w:val="20"/>
        </w:rPr>
      </w:pP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xml:space="preserve">Управление Федеральной службы государственной регистрации кадастра и картографии по Самарской области (далее – Управление) в соответствии с Земельным законодательством Российской Федерации, Федеральным законом от 13.07.2015 N 218-ФЗ "О государственной регистрации недвижимости" (далее – Закон о регистрации) и принятыми во исполнении нормативно-правовыми актами, сообщает следующее. </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xml:space="preserve">Государственный кадастровый учет и (или) государственная регистрация прав осуществляются на основании </w:t>
      </w:r>
      <w:r>
        <w:rPr>
          <w:rFonts w:ascii="Times New Roman" w:hAnsi="Times New Roman"/>
          <w:i/>
          <w:sz w:val="26"/>
          <w:szCs w:val="26"/>
        </w:rPr>
        <w:t>заявления и документов</w:t>
      </w:r>
      <w:r>
        <w:rPr>
          <w:rFonts w:ascii="Times New Roman" w:hAnsi="Times New Roman"/>
          <w:sz w:val="26"/>
          <w:szCs w:val="26"/>
        </w:rPr>
        <w:t>, поступивших в орган регистрации прав в установленном Законом о регистрации порядке (статья 14 Закона о регистрации).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Форма заявления о государственном кадастровом учете и (или) государственной регистрации прав и требования к его заполнению, а также требования к формату такого заявления и представляемых с ним документов в электронной форме утверждены Приказом Минэкономразвития России от 08.12.2015 № 920.</w:t>
      </w:r>
    </w:p>
    <w:p w:rsidR="007E5FF2" w:rsidRDefault="007E5FF2">
      <w:pPr>
        <w:spacing w:after="0" w:line="360" w:lineRule="auto"/>
        <w:ind w:firstLine="709"/>
        <w:jc w:val="both"/>
        <w:rPr>
          <w:rFonts w:ascii="Times New Roman" w:hAnsi="Times New Roman"/>
          <w:i/>
          <w:sz w:val="26"/>
          <w:szCs w:val="26"/>
        </w:rPr>
      </w:pPr>
      <w:r>
        <w:rPr>
          <w:rFonts w:ascii="Times New Roman" w:hAnsi="Times New Roman"/>
          <w:i/>
          <w:sz w:val="26"/>
          <w:szCs w:val="26"/>
        </w:rPr>
        <w:t>Порядок представления заявления и документов:</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Заявление о государственном кадастровом учете и (или) государственной регистрации прав и прилагаемые к нему документы представляются в орган регистрации прав в порядке, установленном приказом Минэкономразвития России от 26.11.2015 № 883:</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форме документов на бумажном носителе: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посредством личного обращения в орган регистрации прав, к уполномоченному лицу органа регистрации прав при выездном приеме, через МФЦ;</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посредством почтового отправления с объявленной ценностью при его пересылке, описью вложения и уведомлением о вручении;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w:t>
      </w:r>
      <w:hyperlink r:id="rId7" w:history="1">
        <w:r>
          <w:rPr>
            <w:rStyle w:val="Hyperlink"/>
            <w:rFonts w:ascii="Times New Roman" w:hAnsi="Times New Roman"/>
            <w:sz w:val="26"/>
            <w:szCs w:val="26"/>
          </w:rPr>
          <w:t>www.rosreeestr.ru</w:t>
        </w:r>
      </w:hyperlink>
      <w:r>
        <w:rPr>
          <w:rFonts w:ascii="Times New Roman" w:hAnsi="Times New Roman"/>
          <w:sz w:val="26"/>
          <w:szCs w:val="26"/>
        </w:rPr>
        <w:t>), или иных информационных технологий взаимодействия с органом регистрации прав.</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личного обращения представляются независимо от места нахождения объекта недвижимости в подразделение органа регистрации прав или многофункциональный центр согласно перечню подразделений органа регистрации прав и многофункциональных центров, который опубликован на официальном сайте.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почтового отправления направляются в подразделение органа регистрации прав согласно перечню подразделений органа регистрации прав, который опубликован на официальном сайте Росреестра (</w:t>
      </w:r>
      <w:hyperlink r:id="rId8" w:history="1">
        <w:r>
          <w:rPr>
            <w:rStyle w:val="Hyperlink"/>
            <w:rFonts w:ascii="Times New Roman" w:hAnsi="Times New Roman"/>
            <w:sz w:val="26"/>
            <w:szCs w:val="26"/>
          </w:rPr>
          <w:t>www.rosreeestr.ru</w:t>
        </w:r>
      </w:hyperlink>
      <w:r>
        <w:rPr>
          <w:rFonts w:ascii="Times New Roman" w:hAnsi="Times New Roman"/>
          <w:sz w:val="26"/>
          <w:szCs w:val="26"/>
        </w:rPr>
        <w:t xml:space="preserve">). </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почтового отправления: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подлинность подписи заявителя на заявлении должна быть засвидетельствована в нотариальном порядке, а также в нотариальном порядке удостоверена доверенность, подтверждающая полномочия представителя заявителя;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сделка с объектом недвижимости должна быть нотариально удостоверена;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доверенность, подтверждающая полномочия лица, совершившего сделку, должна быть нотариально удостоверена, если подлежащая государственной регистрации сделка с объектом недвижимого имущества или сделка, на основании которой подлежит государственной регистрации право либо ограничение права и обременение объекта недвижимости, совершена представителем, действующим на основании доверенности;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к заявлению дополнительно прилагаются копия документа, удостоверяющего личность физического лица (правообладателя, стороны или сторон сделки, а также представителя данных лиц, если заявителем является представитель), и копия документа, удостоверяющего личность физического лица - представителя юридического лица (если правообладателем, стороной или сторонами сделки являются юридические лица).</w:t>
      </w:r>
    </w:p>
    <w:p w:rsidR="007E5FF2" w:rsidRDefault="007E5FF2">
      <w:pPr>
        <w:spacing w:after="0" w:line="360" w:lineRule="auto"/>
        <w:ind w:firstLine="709"/>
        <w:jc w:val="both"/>
        <w:rPr>
          <w:rFonts w:ascii="Times New Roman" w:hAnsi="Times New Roman"/>
          <w:i/>
          <w:sz w:val="26"/>
          <w:szCs w:val="26"/>
        </w:rPr>
      </w:pPr>
      <w:r>
        <w:rPr>
          <w:rFonts w:ascii="Times New Roman" w:hAnsi="Times New Roman"/>
          <w:i/>
          <w:sz w:val="26"/>
          <w:szCs w:val="26"/>
        </w:rPr>
        <w:t>Документы, прилагаемые к заявлению:</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документы:</w:t>
      </w:r>
    </w:p>
    <w:p w:rsidR="007E5FF2" w:rsidRDefault="007E5FF2">
      <w:pPr>
        <w:pStyle w:val="ListParagraph"/>
        <w:numPr>
          <w:ilvl w:val="0"/>
          <w:numId w:val="1"/>
        </w:numPr>
        <w:spacing w:after="0" w:line="360" w:lineRule="auto"/>
        <w:jc w:val="both"/>
        <w:rPr>
          <w:rFonts w:ascii="Times New Roman" w:hAnsi="Times New Roman"/>
          <w:sz w:val="26"/>
          <w:szCs w:val="26"/>
        </w:rPr>
      </w:pPr>
      <w:r>
        <w:rPr>
          <w:rFonts w:ascii="Times New Roman" w:hAnsi="Times New Roman"/>
          <w:sz w:val="26"/>
          <w:szCs w:val="26"/>
        </w:rPr>
        <w:t>документ, подтверждающий полномочия представителя заявителя (если с заявлением обращается его представитель);</w:t>
      </w:r>
    </w:p>
    <w:p w:rsidR="007E5FF2" w:rsidRDefault="007E5FF2">
      <w:pPr>
        <w:pStyle w:val="ListParagraph"/>
        <w:numPr>
          <w:ilvl w:val="0"/>
          <w:numId w:val="1"/>
        </w:numPr>
        <w:spacing w:after="0" w:line="360" w:lineRule="auto"/>
        <w:jc w:val="both"/>
        <w:rPr>
          <w:rFonts w:ascii="Times New Roman" w:hAnsi="Times New Roman"/>
          <w:sz w:val="26"/>
          <w:szCs w:val="26"/>
        </w:rPr>
      </w:pPr>
      <w:r>
        <w:rPr>
          <w:rFonts w:ascii="Times New Roman" w:hAnsi="Times New Roman"/>
          <w:sz w:val="26"/>
          <w:szCs w:val="26"/>
        </w:rPr>
        <w:t>документы, являющиеся основанием для осуществления государственного кадастрового учета и (или) государственной регистрации прав;</w:t>
      </w:r>
    </w:p>
    <w:p w:rsidR="007E5FF2" w:rsidRDefault="007E5FF2">
      <w:pPr>
        <w:pStyle w:val="ListParagraph"/>
        <w:numPr>
          <w:ilvl w:val="0"/>
          <w:numId w:val="1"/>
        </w:numPr>
        <w:spacing w:after="0" w:line="360" w:lineRule="auto"/>
        <w:jc w:val="both"/>
        <w:rPr>
          <w:rFonts w:ascii="Times New Roman" w:hAnsi="Times New Roman"/>
          <w:sz w:val="26"/>
          <w:szCs w:val="26"/>
        </w:rPr>
      </w:pPr>
      <w:r>
        <w:rPr>
          <w:rFonts w:ascii="Times New Roman" w:hAnsi="Times New Roman"/>
          <w:sz w:val="26"/>
          <w:szCs w:val="26"/>
        </w:rPr>
        <w:t>иные документы, предусмотренные Законом о регистрации и принятыми в соответствии с ним иными нормативными правовыми актами.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Не допускается истребование у заявителя дополнительных документов, если представленные им документы отвечают требованиям статьи 21 Закона о регистрации и требованиям принятых в соответствии с Законом о регистрации нормативных правовых актов федеральных органов исполнительной власти, если иное не установлено Законом о регистрации или иными федеральными законами.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Вместе с тем, заявитель вправе представить по собственной инициативе для осуществления государственного кадастрового учета и (или) государственной регистрации прав документы, которые в соответствии с Федеральным законом от 27.07.2010 № 210-ФЗ «Об организации предоставления государственных и муниципальных услуг» представляются в порядке межведомственного информационного взаимодействия.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При представлении заявления о государственном кадастровом учете и (или) государственной регистрации прав посредством личного обращения (через Многофункциональный центр предоставления государственных и муниципальных услуг), физическое лицо предъявляет документ, удостоверяющий его личность, а представитель физического лица - также нотариально удостоверенную доверенность, подтверждающую его полномочия, если иное не установлено федеральным законом. (В случае,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государственной регистрации прав не требуется.)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 государственную регистрацию прав взимается государственная пошлина в соответствии с Налоговым кодексом Российской Федерации (далее – Кодекс) (статья 17 Закона о регистрации).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силу подпункта 22 пункта 1 статьи 333.33 Кодекса за государственную регистрацию прав на недвижимое имущество и сделок с ним физическим лицом уплачивается государственная пошлина в размере 2000 рублей.</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 государственную регистрацию прав физического лица на земельный участок, предназначенного для ведения личного подсобного хозяйства, дачного хозяйства, огородничества, садоводства, индивидуального гаражного или индивидуального жилищного строительства, взимается государственная пошлина в размере 350 рублей.</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Обращаем внимание, что согласно части 4 статьи 333.35 Кодекса размеры государственной пошлины, за совершение юридически значимых действий в отношении физических лиц, применяются с учетом коэффициента 0,7 в случае подачи заявления о совершении указанных юридически значимых действий и уплаты соответствующей государственной пошлины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Представление документа, подтверждающего внесение государственной пошлины за осуществление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При этом орган регистрации прав обязан возвратить заявление о государственном кадастровом учете и (или) государственной регистрации прав и документы, прилагаемые к нему, без рассмотрения, если информация об уплате государственной пошлины за осуществление государственной регистрации прав по истечении пяти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 (статья 25 Закона о регистрации).</w:t>
      </w:r>
    </w:p>
    <w:p w:rsidR="007E5FF2" w:rsidRDefault="007E5FF2">
      <w:pPr>
        <w:spacing w:after="0" w:line="360" w:lineRule="auto"/>
        <w:ind w:firstLine="709"/>
        <w:jc w:val="both"/>
        <w:rPr>
          <w:rFonts w:ascii="Times New Roman" w:hAnsi="Times New Roman"/>
          <w:i/>
          <w:sz w:val="26"/>
          <w:szCs w:val="26"/>
        </w:rPr>
      </w:pPr>
      <w:r>
        <w:rPr>
          <w:rFonts w:ascii="Times New Roman" w:hAnsi="Times New Roman"/>
          <w:i/>
          <w:sz w:val="26"/>
          <w:szCs w:val="26"/>
        </w:rPr>
        <w:t>Основания для осуществления государственного кадастрового учета и (или) государственной регистрации прав.</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соответствии с частью 2 статьи 14 Закона о регистрации основаниями для осуществления государственного кадастрового учета и (или) государственной регистрации прав на земельные участки являются: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свидетельства о праве на наследство;</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вступившие в законную силу судебные акты;</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акты (свидетельства) о правах на недвижимое имущество, 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межевой план, технический план или акт обследования, подготовленные в результате проведения кадастровых работ в установленном федеральным законом порядке, утвержденная в установленном федеральным законом порядке карта-план территории, подготовленная в результате выполнения комплексных кадастровых работ;</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схема размещения земельного участка на публичной кадастровой карте при осуществлении государственного кадастрового учета земельного участка, образуемого в целях его предоставления гражданину в безвозмездное пользование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наступление обстоятельств, указанных в Законе о регистрации.</w:t>
      </w:r>
    </w:p>
    <w:p w:rsidR="007E5FF2" w:rsidRDefault="007E5FF2">
      <w:pPr>
        <w:spacing w:after="0" w:line="360" w:lineRule="auto"/>
        <w:ind w:firstLine="709"/>
        <w:jc w:val="both"/>
        <w:rPr>
          <w:rFonts w:ascii="Times New Roman" w:hAnsi="Times New Roman"/>
          <w:i/>
          <w:sz w:val="26"/>
          <w:szCs w:val="26"/>
        </w:rPr>
      </w:pPr>
      <w:r>
        <w:rPr>
          <w:rFonts w:ascii="Times New Roman" w:hAnsi="Times New Roman"/>
          <w:i/>
          <w:sz w:val="26"/>
          <w:szCs w:val="26"/>
        </w:rPr>
        <w:t>Требования к документам</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ЕГРН.</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Указанные документы должны содержать описание недвижимого имущества и, если иное не установлено Законом о регистрации, вид регистрируемого права, в установленных законодательством Российской Федерации случаях должны быть нотариально удостоверены, заверены печатями, должны иметь надлежащие подписи сторон или определенных законодательством Российской Федерации должностных лиц.</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Тексты документов, представляемых для осуществления государственного кадастрового учета и (или) государственной регистрации прав в форме документов на бумажном носителе, должны быть написаны разборчиво, наименования юридических лиц - без сокращения с указанием их мест нахождения. Фамилии, имена и при наличии отчества физических лиц, адреса их мест жительства должны быть написаны полностью.</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Если представленные в форме документов на бумажном носителе заявление и документы имеют подчистки либо приписки, зачеркнутые слова и иные не оговоренные в них исправления, либо такие документы исполнены карандашом, имеют серьезные повреждения, которые не позволяют однозначно истолковать их содержание, то орган регистрации прав обязан возвратить такие заявление и документы, прилагаемые к нему, без рассмотрения.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Необходимые для осуществления государственной регистрации прав документы в форме документов на бумажном носителе, выражающие содержание сделки, являющейся основанием для государственной регистрации наличия, возникновения, прекращения, перехода, ограничения права и обременения недвижимого имущества, представляются: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не менее чем в двух экземплярах-подлинниках, один из которых возвращается правообладателю, второй помещается в реестровое дело, если такая сделка совершена в простой письменной форме;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не менее чем в двух экземплярах, один из которых (подлинник) возвращается правообладателю, если такая сделка совершена в нотариальной форме или право на основании такой сделки возникло до вступления в силу Федерального закона от 21.07.1997 № 122-ФЗ «О государственной регистрации прав на недвижимое имущество и сделок с ним» (т.е. до 31.01.1998).</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Межевой план, технический план, акт обследования, карта-план территории представляются в орган регистрации прав исключительно в форме электронных документов, подписанных усиленной квалифицированной электронной подписью кадастрового инженера.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Иные необходимые для осуществления государственного кадастрового учета и (или) государственной регистрации прав документы в форме документов на бумажном носителе (за исключением актов органов государственной власти, актов органов местного самоуправления, а также судебных актов, установивших права на недвижимое имущество, и заявлений) представляются не менее чем в двух экземплярах, один из которых (подлинник) после осуществления государственного кадастрового учета и (или) государственной регистрации прав должен быть возвращен заявителю.</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Копии актов органов государственной власти, актов органов местного самоуправления в форме документов на бумажном носителе, а также судебных актов, установивших права на недвижимое имущество, в форме документов на бумажном носителе представляются для осуществления государственного кадастрового учета и (или) государственной регистрации прав в одном экземпляре, который после сканирования при выдаче документов после осуществления государственного кадастрового учета и (или) государственной регистрации прав возвращается заявителю.</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Заявление о государственном кадастровом учете и (или) государственной регистрации прав в форме документа на бумажном носителе представляется в единственном экземпляре-подлиннике.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Если документы представляются для осуществления государственного кадастрового учета и (или) государственной регистрации прав в форме электронных документов, электронных образов документов такие документы представляются: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форме электронных документов, если Законом о регистрации предусмотрено, что такие документы при их представлении в форме документов на бумажном носителе должны быть представлены в подлиннике (один экземпляр таких документов должен быть подлинником), в том числе если такие документы выражают содержание нотариально удостоверенной сделки;</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форме электронных документов или электронных образов документов, если Законом № 218-ФЗ предусмотрено, что такие документы при их представлении в форме документов на бумажном носителе могут быть представлены в виде копии без представления подлинника.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Документы, представляемые в форме электронных документов, должны соответствовать требованиям, установленным законодательством Российской Федерации, и подписываться усиленной квалифицированной электронной подписью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Документы, представляемые в форме электронных образов документов, должны быть подписаны усиленной квалифицированной электронной подписью лиц, подписавших такие документы на бумажном носителе, или лиц,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Сформированный комплект документов, необходимых для осуществления государственного кадастрового учета и (или) государственной регистрации прав и представляемых в форме электронных документов, электронных образов документов, должен быть подписан усиленной квалифицированной электронной подписью заявителя.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Также сообщаем, что согласно части 1 статьи 69 Закона о регистрации права на объекты недвижимости, возникшие до дня вступления в силу Федерального закона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ЕГРН. Государственная регистрация таких прав в ЕГРН проводится по желанию их обладателей.</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Обращаем Ваше внимание, что в соответствии с частью 3 указанной статьи, государственная регистрация прав на объекты недвижимости в ЕГРН обязательна при государственной регистрации перехода таких прав, или совершенной после дня вступления в силу Федерального закона от 21 июля 1997 года N 122-ФЗ "О государственной регистрации прав на недвижимое имущество и сделок с ним" сделки с указанным объектом недвижимости, если иное не установлено Гражданским кодексом Российской Федерации и настоящим Федеральным законом.</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Статьей 49 Закона о регистрации установлены особенности осуществления государственной регистрации права собственности гражданина на земельный участок, предоставленный для ведения личного подсобного хозяйства, огородничества, садоводства, индивидуального гаражного или индивидуального жилищного строительства.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Согласно части 1 статьи 49 Закона о регистрации 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для ведения личного подсобного хозяйства, огородничества, садоводства, индивидуального гаражного или индивидуального жилищного строительства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w:t>
      </w:r>
      <w:bookmarkStart w:id="0" w:name="_GoBack"/>
      <w:bookmarkEnd w:id="0"/>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4) иной документ, устанавливающий или удостоверяющий право такого гражданина на указанный земельный участок.</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соответствии с частью 2 статьи 49 Закона о регистрации государственная регистрация права собственности гражданина на указанный в части 1 статьи 49 Закона о регистрации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2) один из документов, предусмотренных частью 1 статьи 49 Закона о регистрации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rsidR="007E5FF2" w:rsidRDefault="007E5FF2">
      <w:pPr>
        <w:spacing w:after="0" w:line="360" w:lineRule="auto"/>
        <w:ind w:firstLine="709"/>
        <w:jc w:val="both"/>
        <w:rPr>
          <w:rFonts w:ascii="Times New Roman" w:hAnsi="Times New Roman"/>
          <w:i/>
          <w:sz w:val="26"/>
          <w:szCs w:val="26"/>
        </w:rPr>
      </w:pPr>
      <w:r>
        <w:rPr>
          <w:rFonts w:ascii="Times New Roman" w:hAnsi="Times New Roman"/>
          <w:i/>
          <w:sz w:val="26"/>
          <w:szCs w:val="26"/>
        </w:rPr>
        <w:t>Относительно постановки земельного участка на государственный кадастровый учет, сообщаем.</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настоящее время Законом о регистрации не предусмотрены основания для приостановления государственной регистрации прав на земельные участки в связи с отсутствием в ЕГРН сведений о координатах характерных точек их границ (в связи с отсутствием "межевания"). Действующее законодательство также не содержит ограничения на совершение сделок с земельными участками, сведения о которых содержатся в ЕГРН, но границы которых не установлены в соответствии с требованиями земельного законодательства, а также какие-либо сроки, в течение которых такие границы должны быть установлены.</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xml:space="preserve">При этом обращаем внимание на то, что процедура межевания осуществляется по усмотрению правообладателей таких земельных участков, и сроками не ограничиваются. </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Вместе с тем, Управление рекомендует правообладателям земельных участков, не имеющих точных границ, рассмотреть возможность проведения межевания. Внесение в ЕГРН сведений о границах избавит правообладателей от проблем из-за возможных споров, в том числе с соседями и с органами публичной власти, а также позволит использовать земельный участок в полном объеме, включая строительство на нем.</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xml:space="preserve">Согласно статье 22 Закона о регистрации, межевой план представляет собой документ, который составлен на основе кадастрового плана соответствующей территории или выписки из ЕГРН о соответствующем земельном участке и в котором воспроизведены определенные сведения, внесенные в Единый государственный реестр недвижимости,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ЕГРН сведения о земельном участке или земельных участках. </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В соответствии с пунктом 7 части 2 статьи 14 Закона о регистрации межевой план, подготовленный кадастровым инженером на основании договора подряда в результате проведения кадастровых работ в установленном федеральным законом порядке, является основанием для осуществления государственного кадастрового учета.</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 xml:space="preserve">С целью подготовки межевого плана, Вы вправе обратиться к любому кадастровому инженеру, список которых размещен на сайте Росреестра </w:t>
      </w:r>
      <w:hyperlink r:id="rId9" w:history="1">
        <w:r>
          <w:rPr>
            <w:rStyle w:val="Hyperlink"/>
            <w:rFonts w:ascii="Times New Roman" w:hAnsi="Times New Roman"/>
            <w:sz w:val="26"/>
            <w:szCs w:val="26"/>
          </w:rPr>
          <w:t>www.rosreestr.ru</w:t>
        </w:r>
      </w:hyperlink>
      <w:r>
        <w:rPr>
          <w:rFonts w:ascii="Times New Roman" w:hAnsi="Times New Roman"/>
          <w:sz w:val="26"/>
          <w:szCs w:val="26"/>
        </w:rPr>
        <w:t xml:space="preserve">. </w:t>
      </w:r>
    </w:p>
    <w:p w:rsidR="007E5FF2" w:rsidRDefault="007E5FF2">
      <w:pPr>
        <w:spacing w:after="0" w:line="360" w:lineRule="auto"/>
        <w:ind w:firstLine="709"/>
        <w:jc w:val="both"/>
        <w:rPr>
          <w:rFonts w:ascii="Times New Roman" w:hAnsi="Times New Roman"/>
          <w:sz w:val="26"/>
          <w:szCs w:val="26"/>
        </w:rPr>
      </w:pPr>
      <w:r>
        <w:rPr>
          <w:rFonts w:ascii="Times New Roman" w:hAnsi="Times New Roman"/>
          <w:sz w:val="26"/>
          <w:szCs w:val="26"/>
        </w:rPr>
        <w:t>Размер оплаты за проведение кадастровых работ устанавливается договором подряда.</w:t>
      </w:r>
    </w:p>
    <w:sectPr w:rsidR="007E5FF2" w:rsidSect="00007DC0">
      <w:headerReference w:type="default" r:id="rId10"/>
      <w:headerReference w:type="first" r:id="rId11"/>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FF2" w:rsidRDefault="007E5FF2">
      <w:pPr>
        <w:spacing w:after="0" w:line="240" w:lineRule="auto"/>
      </w:pPr>
      <w:r>
        <w:separator/>
      </w:r>
    </w:p>
  </w:endnote>
  <w:endnote w:type="continuationSeparator" w:id="0">
    <w:p w:rsidR="007E5FF2" w:rsidRDefault="007E5F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FF2" w:rsidRDefault="007E5FF2">
      <w:pPr>
        <w:spacing w:after="0" w:line="240" w:lineRule="auto"/>
      </w:pPr>
      <w:r>
        <w:separator/>
      </w:r>
    </w:p>
  </w:footnote>
  <w:footnote w:type="continuationSeparator" w:id="0">
    <w:p w:rsidR="007E5FF2" w:rsidRDefault="007E5F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F2" w:rsidRDefault="007E5FF2">
    <w:pPr>
      <w:pStyle w:val="Header"/>
      <w:jc w:val="center"/>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noProof/>
      </w:rPr>
      <w:t>12</w:t>
    </w:r>
    <w:r>
      <w:rPr>
        <w:rFonts w:ascii="Times New Roman" w:hAnsi="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F2" w:rsidRDefault="007E5FF2">
    <w:pPr>
      <w:pStyle w:val="Header"/>
      <w:jc w:val="center"/>
      <w:rPr>
        <w:color w:val="FFFFFF"/>
      </w:rPr>
    </w:pPr>
    <w:r>
      <w:rPr>
        <w:color w:val="FFFFFF"/>
      </w:rPr>
      <w:fldChar w:fldCharType="begin"/>
    </w:r>
    <w:r>
      <w:rPr>
        <w:color w:val="FFFFFF"/>
      </w:rPr>
      <w:instrText>PAGE   \* MERGEFORMAT</w:instrText>
    </w:r>
    <w:r>
      <w:rPr>
        <w:color w:val="FFFFFF"/>
      </w:rPr>
      <w:fldChar w:fldCharType="separate"/>
    </w:r>
    <w:r>
      <w:rPr>
        <w:noProof/>
        <w:color w:val="FFFFFF"/>
      </w:rPr>
      <w:t>1</w:t>
    </w:r>
    <w:r>
      <w:rPr>
        <w:color w:val="FFFFF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AC6290"/>
    <w:multiLevelType w:val="hybridMultilevel"/>
    <w:tmpl w:val="08CE1EC4"/>
    <w:lvl w:ilvl="0" w:tplc="B6EC08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7DC0"/>
    <w:rsid w:val="00007DC0"/>
    <w:rsid w:val="003F3985"/>
    <w:rsid w:val="005002D2"/>
    <w:rsid w:val="007E5FF2"/>
    <w:rsid w:val="00AC46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DC0"/>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07DC0"/>
    <w:rPr>
      <w:rFonts w:cs="Times New Roman"/>
      <w:color w:val="0563C1"/>
      <w:u w:val="single"/>
    </w:rPr>
  </w:style>
  <w:style w:type="paragraph" w:styleId="ListParagraph">
    <w:name w:val="List Paragraph"/>
    <w:basedOn w:val="Normal"/>
    <w:uiPriority w:val="99"/>
    <w:qFormat/>
    <w:rsid w:val="00007DC0"/>
    <w:pPr>
      <w:ind w:left="720"/>
      <w:contextualSpacing/>
    </w:pPr>
  </w:style>
  <w:style w:type="paragraph" w:styleId="BalloonText">
    <w:name w:val="Balloon Text"/>
    <w:basedOn w:val="Normal"/>
    <w:link w:val="BalloonTextChar"/>
    <w:uiPriority w:val="99"/>
    <w:semiHidden/>
    <w:rsid w:val="00007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07DC0"/>
    <w:rPr>
      <w:rFonts w:ascii="Segoe UI" w:hAnsi="Segoe UI" w:cs="Segoe UI"/>
      <w:sz w:val="18"/>
      <w:szCs w:val="18"/>
    </w:rPr>
  </w:style>
  <w:style w:type="paragraph" w:styleId="Header">
    <w:name w:val="header"/>
    <w:basedOn w:val="Normal"/>
    <w:link w:val="HeaderChar"/>
    <w:uiPriority w:val="99"/>
    <w:rsid w:val="00007DC0"/>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07DC0"/>
    <w:rPr>
      <w:rFonts w:cs="Times New Roman"/>
    </w:rPr>
  </w:style>
  <w:style w:type="paragraph" w:styleId="Footer">
    <w:name w:val="footer"/>
    <w:basedOn w:val="Normal"/>
    <w:link w:val="FooterChar"/>
    <w:uiPriority w:val="99"/>
    <w:rsid w:val="00007DC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07DC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sreeestr.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osreeestr.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osreest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277</TotalTime>
  <Pages>12</Pages>
  <Words>3503</Words>
  <Characters>19968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Газизова Руфия Госмановна</dc:creator>
  <cp:keywords/>
  <dc:description/>
  <cp:lastModifiedBy>Елена Хмельницкая</cp:lastModifiedBy>
  <cp:revision>6</cp:revision>
  <cp:lastPrinted>2019-06-06T06:15:00Z</cp:lastPrinted>
  <dcterms:created xsi:type="dcterms:W3CDTF">2019-06-05T05:32:00Z</dcterms:created>
  <dcterms:modified xsi:type="dcterms:W3CDTF">2019-07-29T19:53:00Z</dcterms:modified>
</cp:coreProperties>
</file>