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286" w:rsidRDefault="00FA6286">
      <w:pPr>
        <w:suppressAutoHyphens/>
        <w:autoSpaceDE w:val="0"/>
        <w:autoSpaceDN w:val="0"/>
        <w:adjustRightInd w:val="0"/>
        <w:spacing w:before="240" w:after="240" w:line="240" w:lineRule="auto"/>
        <w:jc w:val="both"/>
        <w:rPr>
          <w:rFonts w:ascii="Segoe UI" w:hAnsi="Segoe UI" w:cs="Segoe UI"/>
          <w:sz w:val="24"/>
          <w:szCs w:val="24"/>
        </w:rPr>
      </w:pPr>
      <w:r w:rsidRPr="00E52ADE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лого" style="width:271.5pt;height:132.75pt;visibility:visible">
            <v:imagedata r:id="rId4" o:title=""/>
          </v:shape>
        </w:pict>
      </w:r>
    </w:p>
    <w:p w:rsidR="00FA6286" w:rsidRDefault="00FA6286" w:rsidP="00CC4B31">
      <w:pPr>
        <w:spacing w:after="0"/>
        <w:rPr>
          <w:rFonts w:ascii="Times New Roman" w:hAnsi="Times New Roman"/>
          <w:b/>
          <w:sz w:val="28"/>
          <w:szCs w:val="28"/>
        </w:rPr>
      </w:pPr>
      <w:r w:rsidRPr="00CC4B31">
        <w:rPr>
          <w:rFonts w:ascii="Segoe UI" w:hAnsi="Segoe UI" w:cs="Segoe UI"/>
          <w:sz w:val="24"/>
          <w:szCs w:val="24"/>
        </w:rPr>
        <w:pict>
          <v:shape id="_x0000_i1026" type="#_x0000_t75" style="width:168pt;height:168pt">
            <v:imagedata r:id="rId5" o:title=""/>
          </v:shape>
        </w:pict>
      </w:r>
    </w:p>
    <w:p w:rsidR="00FA6286" w:rsidRDefault="00FA6286">
      <w:pPr>
        <w:suppressAutoHyphens/>
        <w:autoSpaceDE w:val="0"/>
        <w:autoSpaceDN w:val="0"/>
        <w:adjustRightInd w:val="0"/>
        <w:spacing w:before="240" w:after="240" w:line="240" w:lineRule="auto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Защита вашей недвижимости: счета эскроу и компенсационный фонд</w:t>
      </w:r>
    </w:p>
    <w:p w:rsidR="00FA6286" w:rsidRDefault="00FA6286">
      <w:pPr>
        <w:suppressAutoHyphens/>
        <w:autoSpaceDE w:val="0"/>
        <w:autoSpaceDN w:val="0"/>
        <w:adjustRightInd w:val="0"/>
        <w:spacing w:before="240" w:after="24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При выборе площадки строительства покупатель долевки может сразу узнать о том, какой способ привлечения средств дольщиков использует застройщик: счета эскроу или компенсационный фонд. О том, как это сделать, рассказали в Управлении Росреестра по Самарской области. </w:t>
      </w:r>
    </w:p>
    <w:p w:rsidR="00FA6286" w:rsidRDefault="00FA6286">
      <w:pPr>
        <w:suppressAutoHyphens/>
        <w:autoSpaceDE w:val="0"/>
        <w:autoSpaceDN w:val="0"/>
        <w:adjustRightInd w:val="0"/>
        <w:spacing w:before="240" w:after="24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настоящее время существует два механизма защиты прав дольщиков: наряду с использованием счетов эскроу остаются и отчисления в компенсационный фонд. В связи с этим покупателям новостроек стоит обратить внимание на то, когда застройщик заключил первый договор долевого участия в строительстве, и есть ли у девелопера заключение министерства строительства Самарской области, в котором обозначены определенные критерии. </w:t>
      </w:r>
    </w:p>
    <w:p w:rsidR="00FA6286" w:rsidRDefault="00FA6286">
      <w:pPr>
        <w:suppressAutoHyphens/>
        <w:autoSpaceDE w:val="0"/>
        <w:autoSpaceDN w:val="0"/>
        <w:adjustRightInd w:val="0"/>
        <w:spacing w:before="240" w:after="24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«Если договор долевого участия с первым участником долевого строительства представлен на государственную регистрацию после первого июля 2019 года, то все договора заключаются только с использованием счетов эскроу, открытых в уполномоченном банке, - говорит начальник отдела регистрации долевого участия в строительстве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Сергей Лазарев</w:t>
      </w:r>
      <w:r>
        <w:rPr>
          <w:rFonts w:ascii="Segoe UI" w:hAnsi="Segoe UI" w:cs="Segoe UI"/>
          <w:sz w:val="24"/>
          <w:szCs w:val="24"/>
        </w:rPr>
        <w:t>. – Аналогичная ситуация касается и других договоров (не первых), которые представлены на регистрацию после первого июля 2019 года в отношении домов, не введенных в эксплуатацию и не соответствующих установленным правительством Российской Федерации критериям. Напомню, что основные критерии – это готовность объекта не менее 30% и количество проданных площадей не менее 10%».</w:t>
      </w:r>
    </w:p>
    <w:p w:rsidR="00FA6286" w:rsidRDefault="00FA6286">
      <w:pPr>
        <w:suppressAutoHyphens/>
        <w:autoSpaceDE w:val="0"/>
        <w:autoSpaceDN w:val="0"/>
        <w:adjustRightInd w:val="0"/>
        <w:spacing w:before="240" w:after="24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 то же время если договор долевого участия представлен на регистрацию также после первого июля 2019 года и дом также не введен в эксплуатацию, однако по нему</w:t>
      </w:r>
      <w:r>
        <w:rPr>
          <w:rFonts w:ascii="Segoe UI" w:hAnsi="Segoe UI" w:cs="Segoe UI"/>
          <w:i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есть заключение регионального министерства строительства (то есть он соответствует установленным правительством Российской Федерации критериям), тогда защита дольщиков этого дома будет осуществляться отчислениями застройщика в компенсационный фонд. Заключение министерства строительства о готовности объекта можно посмотреть на сайте наш.дом.рф.</w:t>
      </w:r>
    </w:p>
    <w:p w:rsidR="00FA6286" w:rsidRDefault="00FA6286">
      <w:pPr>
        <w:suppressAutoHyphens/>
        <w:autoSpaceDE w:val="0"/>
        <w:autoSpaceDN w:val="0"/>
        <w:adjustRightInd w:val="0"/>
        <w:spacing w:before="240" w:after="24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Напомним, что с первого июля 2019 года изменился порядок обеспечения обязательств застройщика при привлечении средств для долевого строительства. Все российские девелоперы переходят на схему долевого строительства жилья с применением эскроу-счетов. Средства клиентов зачисляются на специальный банковский счет, и застройщики не смогут получить эти деньги до передачи квартир покупателям. «При этом порядок государственной регистрации договоров участия в долевом строительстве с применением эскроу-счетов, перечень необходимых для получения госуслуги документов и срок предоставления услуги остался прежним</w:t>
      </w:r>
      <w:bookmarkStart w:id="0" w:name="_GoBack"/>
      <w:bookmarkEnd w:id="0"/>
      <w:r>
        <w:rPr>
          <w:rFonts w:ascii="Segoe UI" w:hAnsi="Segoe UI" w:cs="Segoe UI"/>
          <w:sz w:val="24"/>
          <w:szCs w:val="24"/>
        </w:rPr>
        <w:t>», - отмечает Сергей Лазарев.</w:t>
      </w:r>
    </w:p>
    <w:p w:rsidR="00FA6286" w:rsidRDefault="00FA6286">
      <w:pPr>
        <w:suppressAutoHyphens/>
        <w:autoSpaceDE w:val="0"/>
        <w:autoSpaceDN w:val="0"/>
        <w:adjustRightInd w:val="0"/>
        <w:spacing w:before="240" w:after="24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Segoe UI" w:hAnsi="Segoe UI" w:cs="Segoe UI"/>
          <w:sz w:val="24"/>
          <w:szCs w:val="24"/>
        </w:rPr>
        <w:tab/>
        <w:t xml:space="preserve"> </w:t>
      </w:r>
    </w:p>
    <w:p w:rsidR="00FA6286" w:rsidRDefault="00FA6286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sz w:val="18"/>
          <w:szCs w:val="18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26" type="#_x0000_t32" style="position:absolute;left:0;text-align:left;margin-left:-7.35pt;margin-top:8.75pt;width:490.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</w:pict>
      </w:r>
    </w:p>
    <w:p w:rsidR="00FA6286" w:rsidRDefault="00FA6286">
      <w:pPr>
        <w:spacing w:after="0" w:line="240" w:lineRule="auto"/>
        <w:jc w:val="both"/>
        <w:rPr>
          <w:sz w:val="28"/>
          <w:szCs w:val="28"/>
        </w:rPr>
      </w:pPr>
    </w:p>
    <w:p w:rsidR="00FA6286" w:rsidRDefault="00FA6286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 w:rsidR="00FA6286" w:rsidRDefault="00FA6286"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 w:rsidR="00FA6286" w:rsidRDefault="00FA6286">
      <w:pPr>
        <w:spacing w:after="0" w:line="240" w:lineRule="auto"/>
        <w:rPr>
          <w:rFonts w:ascii="Segoe UI" w:eastAsia="Arial Unicode MS" w:hAnsi="Segoe UI" w:cs="Segoe UI"/>
          <w:b/>
          <w:noProof/>
          <w:kern w:val="2"/>
          <w:sz w:val="20"/>
          <w:szCs w:val="20"/>
          <w:lang w:eastAsia="sk-SK" w:bidi="hi-IN"/>
        </w:rPr>
      </w:pPr>
      <w:r>
        <w:rPr>
          <w:rFonts w:ascii="Segoe UI" w:hAnsi="Segoe UI" w:cs="Segoe UI"/>
        </w:rPr>
        <w:t xml:space="preserve">(846) 33-22-555, 8 927 690 73 51, </w:t>
      </w:r>
      <w:hyperlink r:id="rId6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</w:hyperlink>
      <w:r>
        <w:rPr>
          <w:noProof/>
          <w:lang w:eastAsia="ru-RU"/>
        </w:rPr>
        <w:pict>
          <v:shape id="Прямая со стрелкой 2" o:spid="_x0000_s1027" type="#_x0000_t32" style="position:absolute;margin-left:57.85pt;margin-top:673pt;width:472.5pt;height:0;z-index:251659264;visibility:visible;mso-wrap-distance-top:-19e-5mm;mso-wrap-distance-bottom:-19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</w:pict>
      </w:r>
    </w:p>
    <w:p w:rsidR="00FA6286" w:rsidRDefault="00FA6286"/>
    <w:sectPr w:rsidR="00FA6286" w:rsidSect="00CC4B31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53EC"/>
    <w:rsid w:val="007B590B"/>
    <w:rsid w:val="00820753"/>
    <w:rsid w:val="00C553EC"/>
    <w:rsid w:val="00CC4B31"/>
    <w:rsid w:val="00E52ADE"/>
    <w:rsid w:val="00FA6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3E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55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553E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.samara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72</TotalTime>
  <Pages>2</Pages>
  <Words>421</Words>
  <Characters>2404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Елена Хмельницкая</cp:lastModifiedBy>
  <cp:revision>49</cp:revision>
  <cp:lastPrinted>2019-07-19T12:12:00Z</cp:lastPrinted>
  <dcterms:created xsi:type="dcterms:W3CDTF">2019-07-19T11:04:00Z</dcterms:created>
  <dcterms:modified xsi:type="dcterms:W3CDTF">2019-07-24T15:58:00Z</dcterms:modified>
</cp:coreProperties>
</file>